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458" w14:textId="32EA6773" w:rsidR="004A7C19" w:rsidRDefault="000F10B4">
      <w:pPr>
        <w:jc w:val="center"/>
        <w:rPr>
          <w:rFonts w:ascii="Calibri" w:eastAsia="Calibri" w:hAnsi="Calibri" w:cs="Calibri"/>
          <w:b/>
          <w:color w:val="5A2A98"/>
          <w:sz w:val="28"/>
          <w:szCs w:val="28"/>
        </w:rPr>
      </w:pPr>
      <w:r>
        <w:rPr>
          <w:rFonts w:ascii="Calibri" w:eastAsia="Calibri" w:hAnsi="Calibri" w:cs="Calibri"/>
          <w:b/>
          <w:color w:val="5A2A98"/>
          <w:sz w:val="28"/>
          <w:szCs w:val="28"/>
        </w:rPr>
        <w:t>Faculty Success: Faculty Accomplishments</w:t>
      </w:r>
      <w:r w:rsidR="002D0C87">
        <w:rPr>
          <w:rFonts w:ascii="Calibri" w:eastAsia="Calibri" w:hAnsi="Calibri" w:cs="Calibri"/>
          <w:b/>
          <w:color w:val="5A2A98"/>
          <w:sz w:val="28"/>
          <w:szCs w:val="28"/>
        </w:rPr>
        <w:t xml:space="preserve"> Essential Skills Checklist</w:t>
      </w:r>
    </w:p>
    <w:p w14:paraId="2D985588" w14:textId="77777777" w:rsidR="004A7C19" w:rsidRDefault="004A7C19">
      <w:pPr>
        <w:rPr>
          <w:rFonts w:ascii="Calibri" w:eastAsia="Calibri" w:hAnsi="Calibri" w:cs="Calibri"/>
        </w:rPr>
      </w:pPr>
    </w:p>
    <w:p w14:paraId="481619C6" w14:textId="7557BD46" w:rsidR="004A7C19" w:rsidRDefault="002D0C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you prepare to launch</w:t>
      </w:r>
      <w:r w:rsidR="000F10B4">
        <w:rPr>
          <w:rFonts w:ascii="Calibri" w:eastAsia="Calibri" w:hAnsi="Calibri" w:cs="Calibri"/>
        </w:rPr>
        <w:t xml:space="preserve"> Faculty Success</w:t>
      </w:r>
      <w:r w:rsidR="002F4F34">
        <w:rPr>
          <w:rFonts w:ascii="Calibri" w:eastAsia="Calibri" w:hAnsi="Calibri" w:cs="Calibri"/>
        </w:rPr>
        <w:t>:</w:t>
      </w:r>
      <w:r w:rsidR="000F10B4">
        <w:rPr>
          <w:rFonts w:ascii="Calibri" w:eastAsia="Calibri" w:hAnsi="Calibri" w:cs="Calibri"/>
        </w:rPr>
        <w:t xml:space="preserve"> Faculty Accomplishments </w:t>
      </w:r>
      <w:r>
        <w:rPr>
          <w:rFonts w:ascii="Calibri" w:eastAsia="Calibri" w:hAnsi="Calibri" w:cs="Calibri"/>
        </w:rPr>
        <w:t xml:space="preserve">to your institution, take the time to consider what your faculty and staff need to know to successfully use this platform </w:t>
      </w:r>
    </w:p>
    <w:p w14:paraId="12E792D4" w14:textId="77777777" w:rsidR="004A7C19" w:rsidRDefault="004A7C19">
      <w:pPr>
        <w:rPr>
          <w:rFonts w:ascii="Calibri" w:eastAsia="Calibri" w:hAnsi="Calibri" w:cs="Calibri"/>
        </w:rPr>
      </w:pPr>
    </w:p>
    <w:p w14:paraId="58F896F2" w14:textId="77777777" w:rsidR="004A7C19" w:rsidRDefault="002D0C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checklist of essential skills will give you a solid foundation to prepare your faculty and staff to work with your new tools. Review this list and focus your training on the primary features your institution will use.</w:t>
      </w:r>
    </w:p>
    <w:p w14:paraId="53C3AA23" w14:textId="77777777" w:rsidR="004A7C19" w:rsidRDefault="004A7C19">
      <w:pPr>
        <w:rPr>
          <w:rFonts w:ascii="Calibri" w:eastAsia="Calibri" w:hAnsi="Calibri" w:cs="Calibri"/>
        </w:rPr>
      </w:pPr>
    </w:p>
    <w:p w14:paraId="1462F3F5" w14:textId="77777777" w:rsidR="004A7C19" w:rsidRDefault="004A7C19">
      <w:pPr>
        <w:rPr>
          <w:rFonts w:ascii="Calibri" w:eastAsia="Calibri" w:hAnsi="Calibri" w:cs="Calibri"/>
          <w:b/>
        </w:rPr>
      </w:pPr>
    </w:p>
    <w:p w14:paraId="3335BF6B" w14:textId="77777777" w:rsidR="004A7C19" w:rsidRDefault="002D0C8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Logging in</w:t>
      </w:r>
    </w:p>
    <w:p w14:paraId="2FFD354D" w14:textId="0C709DCF" w:rsidR="004A7C19" w:rsidRDefault="002D0C87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Where to access </w:t>
      </w:r>
      <w:r w:rsidR="000F10B4">
        <w:rPr>
          <w:rFonts w:ascii="Calibri" w:eastAsia="Calibri" w:hAnsi="Calibri" w:cs="Calibri"/>
        </w:rPr>
        <w:t>Faculty Accomplishments</w:t>
      </w:r>
    </w:p>
    <w:p w14:paraId="1FF2A51D" w14:textId="77777777" w:rsidR="004A7C19" w:rsidRDefault="002D0C87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credentials to use</w:t>
      </w:r>
    </w:p>
    <w:p w14:paraId="3AB510B8" w14:textId="77777777" w:rsidR="004A7C19" w:rsidRDefault="002D0C8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Activities screen</w:t>
      </w:r>
    </w:p>
    <w:p w14:paraId="4F4F2BC0" w14:textId="77777777" w:rsidR="004A7C19" w:rsidRDefault="002D0C87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Accessing the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User Guide</w:t>
        </w:r>
      </w:hyperlink>
      <w:r>
        <w:rPr>
          <w:rFonts w:ascii="Calibri" w:eastAsia="Calibri" w:hAnsi="Calibri" w:cs="Calibri"/>
        </w:rPr>
        <w:t xml:space="preserve"> from the Activities screen </w:t>
      </w:r>
    </w:p>
    <w:p w14:paraId="2B4E347A" w14:textId="77777777" w:rsidR="004A7C19" w:rsidRDefault="002D0C8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Importing data</w:t>
      </w:r>
    </w:p>
    <w:p w14:paraId="723FE9FC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8" w:anchor="importCV">
        <w:r w:rsidR="002D0C87">
          <w:rPr>
            <w:rFonts w:ascii="Calibri" w:eastAsia="Calibri" w:hAnsi="Calibri" w:cs="Calibri"/>
            <w:color w:val="1155CC"/>
            <w:u w:val="single"/>
          </w:rPr>
          <w:t xml:space="preserve">Importing your CV </w:t>
        </w:r>
      </w:hyperlink>
    </w:p>
    <w:p w14:paraId="19005532" w14:textId="77777777" w:rsidR="004A7C19" w:rsidRDefault="008B52D9">
      <w:pPr>
        <w:numPr>
          <w:ilvl w:val="2"/>
          <w:numId w:val="1"/>
        </w:numPr>
        <w:rPr>
          <w:rFonts w:ascii="Calibri" w:eastAsia="Calibri" w:hAnsi="Calibri" w:cs="Calibri"/>
        </w:rPr>
      </w:pPr>
      <w:hyperlink r:id="rId9">
        <w:r w:rsidR="002D0C87">
          <w:rPr>
            <w:rFonts w:ascii="Calibri" w:eastAsia="Calibri" w:hAnsi="Calibri" w:cs="Calibri"/>
            <w:color w:val="1155CC"/>
            <w:u w:val="single"/>
          </w:rPr>
          <w:t>CV Import Best Practices</w:t>
        </w:r>
      </w:hyperlink>
      <w:r w:rsidR="002D0C87">
        <w:rPr>
          <w:rFonts w:ascii="Calibri" w:eastAsia="Calibri" w:hAnsi="Calibri" w:cs="Calibri"/>
        </w:rPr>
        <w:t>*</w:t>
      </w:r>
    </w:p>
    <w:p w14:paraId="3CD12154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10">
        <w:r w:rsidR="002D0C87">
          <w:rPr>
            <w:rFonts w:ascii="Calibri" w:eastAsia="Calibri" w:hAnsi="Calibri" w:cs="Calibri"/>
            <w:color w:val="1155CC"/>
            <w:u w:val="single"/>
          </w:rPr>
          <w:t xml:space="preserve">Import </w:t>
        </w:r>
        <w:proofErr w:type="spellStart"/>
        <w:r w:rsidR="002D0C87">
          <w:rPr>
            <w:rFonts w:ascii="Calibri" w:eastAsia="Calibri" w:hAnsi="Calibri" w:cs="Calibri"/>
            <w:color w:val="1155CC"/>
            <w:u w:val="single"/>
          </w:rPr>
          <w:t>BibTeX</w:t>
        </w:r>
        <w:proofErr w:type="spellEnd"/>
        <w:r w:rsidR="002D0C87">
          <w:rPr>
            <w:rFonts w:ascii="Calibri" w:eastAsia="Calibri" w:hAnsi="Calibri" w:cs="Calibri"/>
            <w:color w:val="1155CC"/>
            <w:u w:val="single"/>
          </w:rPr>
          <w:t xml:space="preserve"> Files</w:t>
        </w:r>
      </w:hyperlink>
    </w:p>
    <w:p w14:paraId="3DF855E7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11">
        <w:r w:rsidR="002D0C87">
          <w:rPr>
            <w:rFonts w:ascii="Calibri" w:eastAsia="Calibri" w:hAnsi="Calibri" w:cs="Calibri"/>
            <w:color w:val="1155CC"/>
            <w:u w:val="single"/>
          </w:rPr>
          <w:t xml:space="preserve">Import directly from </w:t>
        </w:r>
      </w:hyperlink>
      <w:hyperlink r:id="rId12">
        <w:r w:rsidR="002D0C87">
          <w:rPr>
            <w:rFonts w:ascii="Calibri" w:eastAsia="Calibri" w:hAnsi="Calibri" w:cs="Calibri"/>
            <w:color w:val="1155CC"/>
            <w:highlight w:val="white"/>
            <w:u w:val="single"/>
          </w:rPr>
          <w:t>ORCID, Scopus, and Web of Science</w:t>
        </w:r>
      </w:hyperlink>
    </w:p>
    <w:p w14:paraId="7B045635" w14:textId="77777777" w:rsidR="004A7C19" w:rsidRDefault="002D0C8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Using and running reports (self-service and/or full-service)</w:t>
      </w:r>
    </w:p>
    <w:p w14:paraId="706C208B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13">
        <w:r w:rsidR="002D0C87">
          <w:rPr>
            <w:rFonts w:ascii="Calibri" w:eastAsia="Calibri" w:hAnsi="Calibri" w:cs="Calibri"/>
            <w:color w:val="1155CC"/>
            <w:u w:val="single"/>
          </w:rPr>
          <w:t>Self-service reports</w:t>
        </w:r>
      </w:hyperlink>
      <w:r w:rsidR="002D0C87">
        <w:rPr>
          <w:rFonts w:ascii="Calibri" w:eastAsia="Calibri" w:hAnsi="Calibri" w:cs="Calibri"/>
        </w:rPr>
        <w:t>*</w:t>
      </w:r>
    </w:p>
    <w:p w14:paraId="7F2966E8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14">
        <w:r w:rsidR="002D0C87">
          <w:rPr>
            <w:rFonts w:ascii="Calibri" w:eastAsia="Calibri" w:hAnsi="Calibri" w:cs="Calibri"/>
            <w:color w:val="1155CC"/>
            <w:u w:val="single"/>
          </w:rPr>
          <w:t>Configuring a custom CV</w:t>
        </w:r>
      </w:hyperlink>
    </w:p>
    <w:p w14:paraId="725DE091" w14:textId="77777777" w:rsidR="004A7C19" w:rsidRDefault="008B52D9">
      <w:pPr>
        <w:numPr>
          <w:ilvl w:val="2"/>
          <w:numId w:val="1"/>
        </w:numPr>
        <w:rPr>
          <w:rFonts w:ascii="Calibri" w:eastAsia="Calibri" w:hAnsi="Calibri" w:cs="Calibri"/>
        </w:rPr>
      </w:pPr>
      <w:hyperlink r:id="rId15">
        <w:r w:rsidR="002D0C87">
          <w:rPr>
            <w:rFonts w:ascii="Calibri" w:eastAsia="Calibri" w:hAnsi="Calibri" w:cs="Calibri"/>
            <w:color w:val="1155CC"/>
            <w:u w:val="single"/>
          </w:rPr>
          <w:t>Custom CV webinar</w:t>
        </w:r>
      </w:hyperlink>
      <w:r w:rsidR="002D0C87">
        <w:rPr>
          <w:rFonts w:ascii="Calibri" w:eastAsia="Calibri" w:hAnsi="Calibri" w:cs="Calibri"/>
        </w:rPr>
        <w:t>*</w:t>
      </w:r>
    </w:p>
    <w:p w14:paraId="167D187C" w14:textId="77777777" w:rsidR="004A7C19" w:rsidRDefault="008B52D9">
      <w:pPr>
        <w:numPr>
          <w:ilvl w:val="1"/>
          <w:numId w:val="1"/>
        </w:numPr>
        <w:rPr>
          <w:rFonts w:ascii="Calibri" w:eastAsia="Calibri" w:hAnsi="Calibri" w:cs="Calibri"/>
        </w:rPr>
      </w:pPr>
      <w:hyperlink r:id="rId16">
        <w:r w:rsidR="002D0C87">
          <w:rPr>
            <w:rFonts w:ascii="Calibri" w:eastAsia="Calibri" w:hAnsi="Calibri" w:cs="Calibri"/>
            <w:color w:val="1155CC"/>
            <w:u w:val="single"/>
          </w:rPr>
          <w:t>Full-service Reports</w:t>
        </w:r>
      </w:hyperlink>
      <w:r w:rsidR="002D0C87">
        <w:rPr>
          <w:rFonts w:ascii="Calibri" w:eastAsia="Calibri" w:hAnsi="Calibri" w:cs="Calibri"/>
        </w:rPr>
        <w:t>*</w:t>
      </w:r>
    </w:p>
    <w:p w14:paraId="5820FF9F" w14:textId="77777777" w:rsidR="004A7C19" w:rsidRDefault="002D0C8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Accessing help resources (who to contact, where to find documentation, etc.)</w:t>
      </w:r>
    </w:p>
    <w:p w14:paraId="04FB67E8" w14:textId="31F6B0E1" w:rsidR="004A7C19" w:rsidRDefault="002D0C87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From your </w:t>
      </w:r>
      <w:r w:rsidR="000F10B4">
        <w:rPr>
          <w:rFonts w:ascii="Calibri" w:eastAsia="Calibri" w:hAnsi="Calibri" w:cs="Calibri"/>
        </w:rPr>
        <w:t>Faculty Accomplishments</w:t>
      </w:r>
      <w:r>
        <w:rPr>
          <w:rFonts w:ascii="Calibri" w:eastAsia="Calibri" w:hAnsi="Calibri" w:cs="Calibri"/>
        </w:rPr>
        <w:t xml:space="preserve"> account, </w:t>
      </w:r>
      <w:proofErr w:type="gramStart"/>
      <w:r>
        <w:rPr>
          <w:rFonts w:ascii="Calibri" w:eastAsia="Calibri" w:hAnsi="Calibri" w:cs="Calibri"/>
        </w:rPr>
        <w:t xml:space="preserve">click </w:t>
      </w:r>
      <w:r>
        <w:rPr>
          <w:rFonts w:ascii="Calibri" w:eastAsia="Calibri" w:hAnsi="Calibri" w:cs="Calibri"/>
          <w:b/>
        </w:rPr>
        <w:t>?</w:t>
      </w:r>
      <w:proofErr w:type="gramEnd"/>
      <w:r>
        <w:rPr>
          <w:rFonts w:ascii="Calibri" w:eastAsia="Calibri" w:hAnsi="Calibri" w:cs="Calibri"/>
        </w:rPr>
        <w:t xml:space="preserve"> in the top right corner to contact </w:t>
      </w:r>
      <w:r w:rsidR="000F10B4">
        <w:rPr>
          <w:rFonts w:ascii="Calibri" w:eastAsia="Calibri" w:hAnsi="Calibri" w:cs="Calibri"/>
        </w:rPr>
        <w:t xml:space="preserve">Watermark </w:t>
      </w:r>
      <w:r>
        <w:rPr>
          <w:rFonts w:ascii="Calibri" w:eastAsia="Calibri" w:hAnsi="Calibri" w:cs="Calibri"/>
        </w:rPr>
        <w:t>Support or your campus administrator.</w:t>
      </w:r>
    </w:p>
    <w:p w14:paraId="3BCDED66" w14:textId="77777777" w:rsidR="004A7C19" w:rsidRDefault="002D0C87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From Activities screen: Click </w:t>
      </w:r>
      <w:r>
        <w:rPr>
          <w:rFonts w:ascii="Calibri" w:eastAsia="Calibri" w:hAnsi="Calibri" w:cs="Calibri"/>
          <w:b/>
        </w:rPr>
        <w:t>Review a Guide</w:t>
      </w:r>
    </w:p>
    <w:p w14:paraId="66192BC8" w14:textId="77777777" w:rsidR="004A7C19" w:rsidRDefault="004A7C19">
      <w:pPr>
        <w:rPr>
          <w:rFonts w:ascii="Calibri" w:eastAsia="Calibri" w:hAnsi="Calibri" w:cs="Calibri"/>
        </w:rPr>
      </w:pPr>
    </w:p>
    <w:p w14:paraId="6EB18DAA" w14:textId="77777777" w:rsidR="004A7C19" w:rsidRDefault="002D0C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Links marked with an asterisk are only accessible to users with a security role that grants access to the Resource Center. Use these for reference as you build your training </w:t>
      </w:r>
      <w:proofErr w:type="gramStart"/>
      <w:r>
        <w:rPr>
          <w:rFonts w:ascii="Calibri" w:eastAsia="Calibri" w:hAnsi="Calibri" w:cs="Calibri"/>
        </w:rPr>
        <w:t>materials, but</w:t>
      </w:r>
      <w:proofErr w:type="gramEnd"/>
      <w:r>
        <w:rPr>
          <w:rFonts w:ascii="Calibri" w:eastAsia="Calibri" w:hAnsi="Calibri" w:cs="Calibri"/>
        </w:rPr>
        <w:t xml:space="preserve"> note that faculty will not be able to access them. All other links are public and can be accessed by faculty users. </w:t>
      </w:r>
    </w:p>
    <w:p w14:paraId="2C94B62F" w14:textId="77777777" w:rsidR="004A7C19" w:rsidRDefault="004A7C19">
      <w:pPr>
        <w:rPr>
          <w:rFonts w:ascii="Calibri" w:eastAsia="Calibri" w:hAnsi="Calibri" w:cs="Calibri"/>
        </w:rPr>
      </w:pPr>
    </w:p>
    <w:sectPr w:rsidR="004A7C19">
      <w:headerReference w:type="default" r:id="rId17"/>
      <w:footerReference w:type="default" r:id="rId18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2585" w14:textId="77777777" w:rsidR="008B52D9" w:rsidRDefault="008B52D9">
      <w:pPr>
        <w:spacing w:line="240" w:lineRule="auto"/>
      </w:pPr>
      <w:r>
        <w:separator/>
      </w:r>
    </w:p>
  </w:endnote>
  <w:endnote w:type="continuationSeparator" w:id="0">
    <w:p w14:paraId="26E53762" w14:textId="77777777" w:rsidR="008B52D9" w:rsidRDefault="008B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F61F" w14:textId="77777777" w:rsidR="004A7C19" w:rsidRDefault="002D0C87">
    <w:pPr>
      <w:rPr>
        <w:rFonts w:ascii="Calibri" w:eastAsia="Calibri" w:hAnsi="Calibri" w:cs="Calibri"/>
        <w:b/>
        <w:color w:val="5A2A98"/>
        <w:sz w:val="20"/>
        <w:szCs w:val="20"/>
      </w:rPr>
    </w:pPr>
    <w:r>
      <w:rPr>
        <w:rFonts w:ascii="Calibri" w:eastAsia="Calibri" w:hAnsi="Calibri" w:cs="Calibri"/>
        <w:b/>
        <w:color w:val="5A2A98"/>
        <w:sz w:val="20"/>
        <w:szCs w:val="20"/>
      </w:rPr>
      <w:t>1-800-311-5656</w:t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</w:r>
    <w:r>
      <w:rPr>
        <w:rFonts w:ascii="Calibri" w:eastAsia="Calibri" w:hAnsi="Calibri" w:cs="Calibri"/>
        <w:b/>
        <w:color w:val="5A2A98"/>
        <w:sz w:val="20"/>
        <w:szCs w:val="20"/>
      </w:rPr>
      <w:tab/>
      <w:t xml:space="preserve">                  support@watermarkinsights.com</w:t>
    </w:r>
  </w:p>
  <w:p w14:paraId="67B7B264" w14:textId="77777777" w:rsidR="004A7C19" w:rsidRDefault="004A7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BF81" w14:textId="77777777" w:rsidR="008B52D9" w:rsidRDefault="008B52D9">
      <w:pPr>
        <w:spacing w:line="240" w:lineRule="auto"/>
      </w:pPr>
      <w:r>
        <w:separator/>
      </w:r>
    </w:p>
  </w:footnote>
  <w:footnote w:type="continuationSeparator" w:id="0">
    <w:p w14:paraId="5FF0815F" w14:textId="77777777" w:rsidR="008B52D9" w:rsidRDefault="008B5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2DBC" w14:textId="77777777" w:rsidR="004A7C19" w:rsidRDefault="002D0C87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1E044989" wp14:editId="2585BEC0">
          <wp:extent cx="3614738" cy="5966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4738" cy="596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FC801B" w14:textId="77777777" w:rsidR="004A7C19" w:rsidRDefault="004A7C19">
    <w:pPr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AC9"/>
    <w:multiLevelType w:val="multilevel"/>
    <w:tmpl w:val="351E11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56040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19"/>
    <w:rsid w:val="000F10B4"/>
    <w:rsid w:val="002D0C87"/>
    <w:rsid w:val="002F4F34"/>
    <w:rsid w:val="004A7C19"/>
    <w:rsid w:val="008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BB87"/>
  <w15:docId w15:val="{EC363886-2E0C-4AA8-9DE2-AA09F1CE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measures.com/activity-insight/docs/guide.html" TargetMode="External"/><Relationship Id="rId13" Type="http://schemas.openxmlformats.org/officeDocument/2006/relationships/hyperlink" Target="https://rc.digitalmeasures.com/hc/en-us/articles/360000006323-How-To-Self-Service-Reporting-Tools-for-Administrator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gitalmeasures.com/activity-insight/docs/guide.html" TargetMode="External"/><Relationship Id="rId12" Type="http://schemas.openxmlformats.org/officeDocument/2006/relationships/hyperlink" Target="https://www.digitalmeasures.com/activity-insight/docs/directdataimport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c.digitalmeasures.com/hc/en-us/articles/202631324-Running-Full-Service-Repor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talmeasures.com/activity-insight/docs/directdataimpor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c.digitalmeasures.com/hc/en-us/articles/115004754663-Webinar-Customizable-CVs-for-Faculty" TargetMode="External"/><Relationship Id="rId10" Type="http://schemas.openxmlformats.org/officeDocument/2006/relationships/hyperlink" Target="https://www.digitalmeasures.com/activity-insight/docs/bibt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c.digitalmeasures.com/hc/en-us/articles/360050613631-CVI-Best-Practices" TargetMode="External"/><Relationship Id="rId14" Type="http://schemas.openxmlformats.org/officeDocument/2006/relationships/hyperlink" Target="https://www.digitalmeasures.com/activity-insight/docs/reporti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Ramos</cp:lastModifiedBy>
  <cp:revision>3</cp:revision>
  <dcterms:created xsi:type="dcterms:W3CDTF">2022-04-12T19:42:00Z</dcterms:created>
  <dcterms:modified xsi:type="dcterms:W3CDTF">2022-04-12T19:58:00Z</dcterms:modified>
</cp:coreProperties>
</file>